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B1" w:rsidRPr="008C43B1" w:rsidRDefault="008C43B1" w:rsidP="008C43B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 w:rsidRPr="008C43B1">
        <w:rPr>
          <w:rFonts w:ascii="Arial" w:eastAsia="Times New Roman" w:hAnsi="Arial" w:cs="Arial"/>
          <w:color w:val="565656"/>
          <w:sz w:val="24"/>
          <w:szCs w:val="24"/>
        </w:rPr>
        <w:t>1) Serviciul Public Comunitar pentru Eliberarea şi Evidenţa Paşapoartelor Simple are ca atribuţie principală eliberarea şi evidenţa paşapoartelor simple.Serviciul este condus de un şef de serviciu în subordinea prefectului şi a subprefectului.</w:t>
      </w:r>
      <w:r w:rsidRPr="008C43B1">
        <w:rPr>
          <w:rFonts w:ascii="Arial" w:eastAsia="Times New Roman" w:hAnsi="Arial" w:cs="Arial"/>
          <w:color w:val="565656"/>
          <w:sz w:val="24"/>
          <w:szCs w:val="24"/>
        </w:rPr>
        <w:br/>
        <w:t>2)  Serviciul îndeplineşte următoarele atribuţii: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soluţionează cererile pentru eliberarea paşapoartelor simple, în conformitate cu prevederile legii;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colaborează cu serviciile publice comunitare locale de evidenţă a persoanelor pentru asigurarea eliberării paşapoartelor simple, în sistem de ghişeu unic;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administrează şi gestionează registrul judeţean de evidenţă a paşapoartelor simple şi valorifică datele cuprinse în acesta;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asigură furnizarea permanent, în cadrul Sistemului naţional informatic de evidenţă a persoanelor, a informaţiilor necesare actualizării Registrului naţional de evidenţă a paşapoartelor simple;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asigură înscrierea de menţiuni în paşapoartele simple, în condiţiile legii;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organizează la nivelul judeţului gestionarea şi controlul eliberării paşapoartelor simple;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asigură soluţionarea contestaţiilor depuse la serviciul public comunitar pentru eliberarea şi evidenţa paşapoartelor simple;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regulamentul propriu de organizare şi funcţionare a serviciul public comunitar pentru eliberarea şi evidenţa paşapoartelor simple va fi vizat de subprefectul care coordonează activitatea  acestui serviciu şi va fi aprobat de prefect;</w:t>
      </w:r>
    </w:p>
    <w:p w:rsidR="008C43B1" w:rsidRPr="008C43B1" w:rsidRDefault="008C43B1" w:rsidP="008C43B1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</w:rPr>
      </w:pPr>
      <w:r w:rsidRPr="008C43B1">
        <w:rPr>
          <w:rFonts w:ascii="inherit" w:eastAsia="Times New Roman" w:hAnsi="inherit" w:cs="Arial"/>
          <w:color w:val="565656"/>
          <w:sz w:val="24"/>
          <w:szCs w:val="24"/>
        </w:rPr>
        <w:t>completarea sarcinilor menţionate se face prin regulamentul propriu de organizare şi  funcţionare a serviciului public comunitar.</w:t>
      </w:r>
    </w:p>
    <w:p w:rsidR="00BA3111" w:rsidRDefault="00BA3111"/>
    <w:sectPr w:rsidR="00BA3111" w:rsidSect="00BA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DEA"/>
    <w:multiLevelType w:val="multilevel"/>
    <w:tmpl w:val="4DC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43B1"/>
    <w:rsid w:val="008C43B1"/>
    <w:rsid w:val="00BA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Prefectura Alba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Horia</dc:creator>
  <cp:keywords/>
  <dc:description/>
  <cp:lastModifiedBy>David Horia</cp:lastModifiedBy>
  <cp:revision>1</cp:revision>
  <dcterms:created xsi:type="dcterms:W3CDTF">2017-12-21T08:58:00Z</dcterms:created>
  <dcterms:modified xsi:type="dcterms:W3CDTF">2017-12-21T08:58:00Z</dcterms:modified>
</cp:coreProperties>
</file>